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F3" w:rsidRDefault="00F20CF3" w:rsidP="00F20CF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</w:pPr>
    </w:p>
    <w:p w:rsidR="00F20CF3" w:rsidRDefault="00F20CF3" w:rsidP="00F20CF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</w:pPr>
    </w:p>
    <w:p w:rsidR="00F20CF3" w:rsidRDefault="00F20CF3" w:rsidP="00F20CF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</w:pPr>
    </w:p>
    <w:p w:rsidR="00F20CF3" w:rsidRDefault="00F20CF3" w:rsidP="00F20CF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</w:pPr>
    </w:p>
    <w:p w:rsidR="00F20CF3" w:rsidRDefault="00F20CF3" w:rsidP="00F20CF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</w:pPr>
    </w:p>
    <w:p w:rsidR="00F20CF3" w:rsidRDefault="00F20CF3" w:rsidP="00F20CF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</w:pPr>
    </w:p>
    <w:p w:rsidR="00F20CF3" w:rsidRDefault="00F20CF3" w:rsidP="00F20CF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</w:pPr>
    </w:p>
    <w:p w:rsidR="00F20CF3" w:rsidRPr="00F20CF3" w:rsidRDefault="00F20CF3" w:rsidP="00F20CF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bookmarkStart w:id="0" w:name="_GoBack"/>
      <w:bookmarkEnd w:id="0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 xml:space="preserve">Având în vedere </w:t>
      </w:r>
      <w:proofErr w:type="spellStart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>situaţia</w:t>
      </w:r>
      <w:proofErr w:type="spellEnd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 xml:space="preserve"> generată de pandemia de COVID 19 </w:t>
      </w:r>
      <w:proofErr w:type="spellStart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>şi</w:t>
      </w:r>
      <w:proofErr w:type="spellEnd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 xml:space="preserve">, </w:t>
      </w:r>
      <w:proofErr w:type="spellStart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>ţinând</w:t>
      </w:r>
      <w:proofErr w:type="spellEnd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 xml:space="preserve"> seama de Legea nr. 55/2020 </w:t>
      </w:r>
      <w:proofErr w:type="spellStart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>şi</w:t>
      </w:r>
      <w:proofErr w:type="spellEnd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 xml:space="preserve"> Hotărârea nr. 935/2020 a Guvernului României, prin derogare de la art. 9 alin. 3 din Hotărârea nr. 126/2007 pentru aprobarea Regulamentului privind organizarea concursului de ocupare a posturilor vacante de grefier la </w:t>
      </w:r>
      <w:proofErr w:type="spellStart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>instanţele</w:t>
      </w:r>
      <w:proofErr w:type="spellEnd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>judecătoreşti</w:t>
      </w:r>
      <w:proofErr w:type="spellEnd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>şi</w:t>
      </w:r>
      <w:proofErr w:type="spellEnd"/>
      <w:r w:rsidRPr="00F20CF3">
        <w:rPr>
          <w:rFonts w:ascii="Verdana" w:eastAsia="Times New Roman" w:hAnsi="Verdana" w:cs="Times New Roman"/>
          <w:color w:val="000000"/>
          <w:sz w:val="28"/>
          <w:szCs w:val="28"/>
          <w:lang w:val="ro-RO"/>
        </w:rPr>
        <w:t xml:space="preserve"> parchetele de pe lângă acestea, </w:t>
      </w:r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 xml:space="preserve">dosarele de concurs vor putea fi depuse la sediul Parchetului de pe lângă Curtea de Apel </w:t>
      </w:r>
      <w:proofErr w:type="spellStart"/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>Braşov</w:t>
      </w:r>
      <w:proofErr w:type="spellEnd"/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 xml:space="preserve"> prin </w:t>
      </w:r>
      <w:proofErr w:type="spellStart"/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>poştă</w:t>
      </w:r>
      <w:proofErr w:type="spellEnd"/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 xml:space="preserve"> sau </w:t>
      </w:r>
      <w:proofErr w:type="spellStart"/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>poştă</w:t>
      </w:r>
      <w:proofErr w:type="spellEnd"/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 xml:space="preserve"> electronică, urmând ca pentru diploma de bacalaureat sau, după caz, de studii superioare să se depună copie autentificată notarial.</w:t>
      </w:r>
    </w:p>
    <w:p w:rsidR="00F20CF3" w:rsidRPr="00F20CF3" w:rsidRDefault="00F20CF3" w:rsidP="00F20CF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 xml:space="preserve">Taxa de participare va fi depusă în contul RO36TREZ1315005XXX006373 deschis la Trezoreria </w:t>
      </w:r>
      <w:proofErr w:type="spellStart"/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>Braşov</w:t>
      </w:r>
      <w:proofErr w:type="spellEnd"/>
      <w:r w:rsidRPr="00F20CF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o-RO"/>
        </w:rPr>
        <w:t>, CUI 16742758.</w:t>
      </w:r>
    </w:p>
    <w:p w:rsidR="00EE1484" w:rsidRDefault="00EE1484"/>
    <w:sectPr w:rsidR="00EE1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F3"/>
    <w:rsid w:val="00EC41F9"/>
    <w:rsid w:val="00EE1484"/>
    <w:rsid w:val="00F2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619D"/>
  <w15:chartTrackingRefBased/>
  <w15:docId w15:val="{6F87634D-EB1B-4D70-924D-DCFB563D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2020-11-11T13:40:00Z</dcterms:created>
  <dcterms:modified xsi:type="dcterms:W3CDTF">2020-11-11T13:41:00Z</dcterms:modified>
</cp:coreProperties>
</file>